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62C7" w14:textId="77777777" w:rsidR="00C462F9" w:rsidRPr="00AD3261" w:rsidRDefault="00C462F9" w:rsidP="00C462F9">
      <w:pPr>
        <w:widowControl w:val="0"/>
        <w:autoSpaceDE w:val="0"/>
        <w:autoSpaceDN w:val="0"/>
        <w:adjustRightInd w:val="0"/>
        <w:spacing w:after="240"/>
        <w:jc w:val="center"/>
        <w:rPr>
          <w:bCs/>
          <w:szCs w:val="24"/>
        </w:rPr>
      </w:pPr>
      <w:r>
        <w:rPr>
          <w:bCs/>
          <w:szCs w:val="24"/>
        </w:rPr>
        <w:t xml:space="preserve">N </w:t>
      </w:r>
      <w:r w:rsidRPr="00AD3261">
        <w:rPr>
          <w:bCs/>
          <w:szCs w:val="24"/>
        </w:rPr>
        <w:t>Á V R H</w:t>
      </w:r>
    </w:p>
    <w:p w14:paraId="6E0A62C8" w14:textId="77777777" w:rsidR="00C462F9" w:rsidRPr="00E17B1C" w:rsidRDefault="00C462F9" w:rsidP="00C462F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  <w:r w:rsidRPr="00E17B1C">
        <w:rPr>
          <w:b/>
          <w:bCs/>
          <w:szCs w:val="24"/>
        </w:rPr>
        <w:t>VYHLÁŠKA</w:t>
      </w:r>
    </w:p>
    <w:p w14:paraId="6E0A62C9" w14:textId="77777777" w:rsidR="00C462F9" w:rsidRDefault="00C462F9" w:rsidP="00C462F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ze dne                 2024</w:t>
      </w:r>
      <w:r w:rsidRPr="00E17B1C">
        <w:rPr>
          <w:szCs w:val="24"/>
        </w:rPr>
        <w:t>,</w:t>
      </w:r>
    </w:p>
    <w:p w14:paraId="6E0A62CA" w14:textId="77777777" w:rsidR="00C462F9" w:rsidRPr="00E17B1C" w:rsidRDefault="00C462F9" w:rsidP="00C462F9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14:paraId="6E0A62CB" w14:textId="77777777" w:rsidR="00C462F9" w:rsidRDefault="00C462F9" w:rsidP="00C462F9">
      <w:pPr>
        <w:jc w:val="center"/>
        <w:rPr>
          <w:b/>
          <w:bCs/>
          <w:szCs w:val="24"/>
        </w:rPr>
      </w:pPr>
      <w:r w:rsidRPr="0033009F">
        <w:rPr>
          <w:b/>
          <w:bCs/>
          <w:szCs w:val="24"/>
        </w:rPr>
        <w:t>kterou se mění vyhláška č. 1/2022</w:t>
      </w:r>
      <w:r>
        <w:rPr>
          <w:b/>
          <w:bCs/>
          <w:szCs w:val="24"/>
        </w:rPr>
        <w:t xml:space="preserve"> Sb.</w:t>
      </w:r>
      <w:r w:rsidRPr="0033009F">
        <w:rPr>
          <w:b/>
          <w:bCs/>
          <w:szCs w:val="24"/>
        </w:rPr>
        <w:t xml:space="preserve">, o žádostech a oznámeních k výkonu činnosti podle zákona o platebním styku, ve znění vyhlášky č. 151/2022 Sb., </w:t>
      </w:r>
    </w:p>
    <w:p w14:paraId="6E0A62CC" w14:textId="77777777" w:rsidR="00C462F9" w:rsidRDefault="00C462F9" w:rsidP="00C462F9">
      <w:pPr>
        <w:jc w:val="center"/>
        <w:rPr>
          <w:b/>
          <w:bCs/>
          <w:szCs w:val="24"/>
        </w:rPr>
      </w:pPr>
      <w:r w:rsidRPr="0033009F">
        <w:rPr>
          <w:b/>
          <w:bCs/>
          <w:szCs w:val="24"/>
        </w:rPr>
        <w:t xml:space="preserve">a </w:t>
      </w:r>
    </w:p>
    <w:p w14:paraId="6E0A62CD" w14:textId="77777777" w:rsidR="00C462F9" w:rsidRPr="009A584D" w:rsidRDefault="00C462F9" w:rsidP="00C462F9">
      <w:pPr>
        <w:jc w:val="center"/>
        <w:rPr>
          <w:b/>
          <w:bCs/>
          <w:szCs w:val="24"/>
        </w:rPr>
      </w:pPr>
      <w:r w:rsidRPr="0033009F">
        <w:rPr>
          <w:b/>
          <w:bCs/>
          <w:szCs w:val="24"/>
        </w:rPr>
        <w:t>vyhláška č. 7/2018 Sb., o</w:t>
      </w:r>
      <w:r>
        <w:rPr>
          <w:b/>
          <w:bCs/>
          <w:szCs w:val="24"/>
        </w:rPr>
        <w:t> </w:t>
      </w:r>
      <w:r w:rsidRPr="0033009F">
        <w:rPr>
          <w:b/>
          <w:bCs/>
          <w:szCs w:val="24"/>
        </w:rPr>
        <w:t>některých podmínkách výkonu činnosti platební instituce, správce informací o</w:t>
      </w:r>
      <w:r>
        <w:rPr>
          <w:b/>
          <w:bCs/>
          <w:szCs w:val="24"/>
        </w:rPr>
        <w:t> </w:t>
      </w:r>
      <w:r w:rsidRPr="0033009F">
        <w:rPr>
          <w:b/>
          <w:bCs/>
          <w:szCs w:val="24"/>
        </w:rPr>
        <w:t>platebním účtu, poskytovatele platebních služeb malého rozsahu, instituce elektronických peněz a vydavatele elektronických peněz malého rozsahu, ve</w:t>
      </w:r>
      <w:r>
        <w:rPr>
          <w:b/>
          <w:bCs/>
          <w:szCs w:val="24"/>
        </w:rPr>
        <w:t> </w:t>
      </w:r>
      <w:r w:rsidRPr="0033009F">
        <w:rPr>
          <w:b/>
          <w:bCs/>
          <w:szCs w:val="24"/>
        </w:rPr>
        <w:t xml:space="preserve">znění </w:t>
      </w:r>
      <w:r w:rsidRPr="009A584D">
        <w:rPr>
          <w:b/>
          <w:bCs/>
          <w:szCs w:val="24"/>
        </w:rPr>
        <w:t>vyhlášky č. 2/2022 Sb. a vyhlášky č. 151/2022 Sb.</w:t>
      </w:r>
    </w:p>
    <w:p w14:paraId="6E0A62CE" w14:textId="77777777" w:rsidR="00C462F9" w:rsidRDefault="00C462F9" w:rsidP="00C462F9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p w14:paraId="6E0A62CF" w14:textId="77777777" w:rsidR="00C462F9" w:rsidRDefault="00C462F9" w:rsidP="00C462F9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p w14:paraId="6E0A62D0" w14:textId="77777777" w:rsidR="00C462F9" w:rsidRDefault="00C462F9" w:rsidP="00C462F9">
      <w:pPr>
        <w:widowControl w:val="0"/>
        <w:autoSpaceDE w:val="0"/>
        <w:autoSpaceDN w:val="0"/>
        <w:adjustRightInd w:val="0"/>
        <w:spacing w:after="360"/>
      </w:pPr>
      <w:r w:rsidRPr="007F5571">
        <w:t xml:space="preserve">Česká národní banka stanoví podle § 263 zákona č. 370/2017 Sb., o platebním styku, </w:t>
      </w:r>
      <w:r>
        <w:t xml:space="preserve">ve znění zákona </w:t>
      </w:r>
      <w:r w:rsidRPr="001401A0">
        <w:rPr>
          <w:szCs w:val="24"/>
        </w:rPr>
        <w:t xml:space="preserve">č. 129/2022 Sb. </w:t>
      </w:r>
      <w:r>
        <w:t>a zákona č</w:t>
      </w:r>
      <w:r w:rsidRPr="00A368CE">
        <w:t>. …/2024</w:t>
      </w:r>
      <w:r>
        <w:t xml:space="preserve"> Sb. </w:t>
      </w:r>
      <w:r w:rsidRPr="00D31154">
        <w:rPr>
          <w:i/>
        </w:rPr>
        <w:t>(sněmovní tisk 69</w:t>
      </w:r>
      <w:r>
        <w:rPr>
          <w:i/>
        </w:rPr>
        <w:t>4</w:t>
      </w:r>
      <w:r w:rsidRPr="00D31154">
        <w:rPr>
          <w:i/>
        </w:rPr>
        <w:t>)</w:t>
      </w:r>
      <w:r>
        <w:t xml:space="preserve">, </w:t>
      </w:r>
      <w:r w:rsidRPr="007F5571">
        <w:t xml:space="preserve">k provedení </w:t>
      </w:r>
      <w:hyperlink r:id="rId7" w:history="1">
        <w:r w:rsidRPr="001F48AB">
          <w:rPr>
            <w:szCs w:val="24"/>
          </w:rPr>
          <w:t>§ 10 odst. 4</w:t>
        </w:r>
      </w:hyperlink>
      <w:r>
        <w:rPr>
          <w:szCs w:val="24"/>
        </w:rPr>
        <w:t xml:space="preserve">, </w:t>
      </w:r>
      <w:r w:rsidRPr="007F5571">
        <w:t xml:space="preserve">§ </w:t>
      </w:r>
      <w:r w:rsidRPr="009A584D">
        <w:rPr>
          <w:szCs w:val="24"/>
        </w:rPr>
        <w:t xml:space="preserve">20 odst. 4, </w:t>
      </w:r>
      <w:hyperlink r:id="rId8" w:history="1">
        <w:r w:rsidRPr="001F48AB">
          <w:rPr>
            <w:szCs w:val="24"/>
          </w:rPr>
          <w:t>§ 43 odst. 3</w:t>
        </w:r>
      </w:hyperlink>
      <w:r>
        <w:rPr>
          <w:szCs w:val="24"/>
        </w:rPr>
        <w:t xml:space="preserve">, </w:t>
      </w:r>
      <w:r w:rsidRPr="009A584D">
        <w:rPr>
          <w:szCs w:val="24"/>
        </w:rPr>
        <w:t>§ 48 odst. 4, §</w:t>
      </w:r>
      <w:r>
        <w:rPr>
          <w:szCs w:val="24"/>
        </w:rPr>
        <w:t> </w:t>
      </w:r>
      <w:r w:rsidRPr="009A584D">
        <w:rPr>
          <w:szCs w:val="24"/>
        </w:rPr>
        <w:t xml:space="preserve">59 odst. 4, </w:t>
      </w:r>
      <w:r w:rsidRPr="001F48AB">
        <w:rPr>
          <w:szCs w:val="24"/>
        </w:rPr>
        <w:t>§ 60 odst. 3</w:t>
      </w:r>
      <w:r>
        <w:rPr>
          <w:szCs w:val="24"/>
        </w:rPr>
        <w:t xml:space="preserve">, </w:t>
      </w:r>
      <w:hyperlink r:id="rId9" w:history="1">
        <w:r w:rsidRPr="001F48AB">
          <w:rPr>
            <w:szCs w:val="24"/>
          </w:rPr>
          <w:t>§ 69 odst. 4</w:t>
        </w:r>
      </w:hyperlink>
      <w:r>
        <w:rPr>
          <w:szCs w:val="24"/>
        </w:rPr>
        <w:t>, § 78 odst. 4,</w:t>
      </w:r>
      <w:r w:rsidRPr="009A584D">
        <w:rPr>
          <w:szCs w:val="24"/>
        </w:rPr>
        <w:t xml:space="preserve"> §</w:t>
      </w:r>
      <w:r>
        <w:rPr>
          <w:szCs w:val="24"/>
        </w:rPr>
        <w:t> </w:t>
      </w:r>
      <w:r w:rsidRPr="009A584D">
        <w:rPr>
          <w:szCs w:val="24"/>
        </w:rPr>
        <w:t>100 odst. 4</w:t>
      </w:r>
      <w:r>
        <w:rPr>
          <w:szCs w:val="24"/>
        </w:rPr>
        <w:t xml:space="preserve"> a </w:t>
      </w:r>
      <w:hyperlink r:id="rId10" w:history="1">
        <w:r w:rsidRPr="00A867A1">
          <w:rPr>
            <w:szCs w:val="24"/>
          </w:rPr>
          <w:t>§ 101 odst. 3</w:t>
        </w:r>
      </w:hyperlink>
      <w:r>
        <w:rPr>
          <w:szCs w:val="24"/>
        </w:rPr>
        <w:t xml:space="preserve"> </w:t>
      </w:r>
      <w:r w:rsidRPr="007F5571">
        <w:t>tohoto zákona:</w:t>
      </w:r>
    </w:p>
    <w:p w14:paraId="6E0A62D1" w14:textId="77777777" w:rsidR="00C462F9" w:rsidRPr="007E1DBB" w:rsidRDefault="00C462F9" w:rsidP="00C462F9">
      <w:pPr>
        <w:spacing w:before="240"/>
        <w:jc w:val="center"/>
        <w:rPr>
          <w:szCs w:val="24"/>
        </w:rPr>
      </w:pPr>
      <w:r w:rsidRPr="007E1DBB">
        <w:rPr>
          <w:szCs w:val="24"/>
        </w:rPr>
        <w:t xml:space="preserve">ČÁST PRVNÍ </w:t>
      </w:r>
    </w:p>
    <w:p w14:paraId="6E0A62D2" w14:textId="77777777" w:rsidR="00C462F9" w:rsidRPr="009C2096" w:rsidRDefault="00C462F9" w:rsidP="00C462F9">
      <w:pPr>
        <w:spacing w:before="240"/>
        <w:jc w:val="center"/>
        <w:rPr>
          <w:b/>
          <w:szCs w:val="24"/>
        </w:rPr>
      </w:pPr>
      <w:r>
        <w:rPr>
          <w:b/>
          <w:szCs w:val="24"/>
        </w:rPr>
        <w:t xml:space="preserve">Změna vyhlášky o </w:t>
      </w:r>
      <w:r w:rsidRPr="000A17D6">
        <w:rPr>
          <w:b/>
          <w:bCs/>
          <w:szCs w:val="24"/>
        </w:rPr>
        <w:t>žádostech a oznámeních k výkonu činnosti podle zákona o platebním styku</w:t>
      </w:r>
    </w:p>
    <w:p w14:paraId="6E0A62D3" w14:textId="77777777" w:rsidR="00C462F9" w:rsidRDefault="00C462F9" w:rsidP="00C462F9">
      <w:pPr>
        <w:spacing w:before="240" w:after="240"/>
        <w:jc w:val="center"/>
        <w:rPr>
          <w:szCs w:val="24"/>
        </w:rPr>
      </w:pPr>
      <w:r w:rsidRPr="00E17B1C">
        <w:rPr>
          <w:szCs w:val="24"/>
        </w:rPr>
        <w:t>Čl. I</w:t>
      </w:r>
    </w:p>
    <w:p w14:paraId="6E0A62D4" w14:textId="77777777" w:rsidR="00C462F9" w:rsidRPr="00805AA6" w:rsidRDefault="00C462F9" w:rsidP="00C462F9">
      <w:pPr>
        <w:widowControl w:val="0"/>
        <w:autoSpaceDE w:val="0"/>
        <w:autoSpaceDN w:val="0"/>
        <w:adjustRightInd w:val="0"/>
        <w:ind w:firstLine="567"/>
      </w:pPr>
      <w:r w:rsidRPr="000A17D6">
        <w:rPr>
          <w:bCs/>
          <w:szCs w:val="24"/>
        </w:rPr>
        <w:t>Vyhláška č. 1/2022 Sb., o žádostech a oznámeních k výkonu činnosti podle zákona o</w:t>
      </w:r>
      <w:r>
        <w:rPr>
          <w:bCs/>
          <w:szCs w:val="24"/>
        </w:rPr>
        <w:t> </w:t>
      </w:r>
      <w:r w:rsidRPr="000A17D6">
        <w:rPr>
          <w:bCs/>
          <w:szCs w:val="24"/>
        </w:rPr>
        <w:t xml:space="preserve">platebním </w:t>
      </w:r>
      <w:r w:rsidRPr="00795100">
        <w:rPr>
          <w:bCs/>
          <w:szCs w:val="24"/>
        </w:rPr>
        <w:t>styku</w:t>
      </w:r>
      <w:r w:rsidRPr="00795100">
        <w:t xml:space="preserve">, </w:t>
      </w:r>
      <w:r w:rsidRPr="00795100">
        <w:rPr>
          <w:bCs/>
          <w:szCs w:val="24"/>
        </w:rPr>
        <w:t>ve znění vyhlášky č. 151/2022 Sb.,</w:t>
      </w:r>
      <w:r>
        <w:t xml:space="preserve"> se mění takto:</w:t>
      </w:r>
    </w:p>
    <w:p w14:paraId="6E0A62D5" w14:textId="77777777" w:rsidR="00C462F9" w:rsidRDefault="00C462F9" w:rsidP="00C462F9">
      <w:pPr>
        <w:pStyle w:val="Odstavecseseznamem"/>
        <w:numPr>
          <w:ilvl w:val="0"/>
          <w:numId w:val="1"/>
        </w:numPr>
        <w:spacing w:before="240" w:after="200"/>
      </w:pPr>
      <w:r>
        <w:t xml:space="preserve">V poznámce pod čarou č. 1 se na konci textu věty doplňují slova „, </w:t>
      </w:r>
      <w:r w:rsidRPr="00142B53">
        <w:rPr>
          <w:u w:val="single"/>
        </w:rPr>
        <w:t>v platném znění</w:t>
      </w:r>
      <w:r>
        <w:t>“.</w:t>
      </w:r>
    </w:p>
    <w:p w14:paraId="6E0A62D6" w14:textId="77777777" w:rsidR="00C462F9" w:rsidRPr="00B15D8A" w:rsidRDefault="00C462F9" w:rsidP="00C462F9">
      <w:pPr>
        <w:pStyle w:val="Odstavecseseznamem"/>
        <w:spacing w:before="240" w:after="200"/>
        <w:ind w:left="360"/>
        <w:rPr>
          <w:i/>
        </w:rPr>
      </w:pPr>
      <w:r w:rsidRPr="00B15D8A">
        <w:rPr>
          <w:i/>
        </w:rPr>
        <w:t>CELEX32022L2556</w:t>
      </w:r>
    </w:p>
    <w:p w14:paraId="6E0A62D7" w14:textId="77777777" w:rsidR="00C462F9" w:rsidRDefault="00C462F9" w:rsidP="00C462F9">
      <w:pPr>
        <w:pStyle w:val="Odstavecseseznamem"/>
        <w:numPr>
          <w:ilvl w:val="0"/>
          <w:numId w:val="1"/>
        </w:numPr>
        <w:spacing w:before="240" w:after="200"/>
        <w:ind w:left="357" w:hanging="357"/>
      </w:pPr>
      <w:r>
        <w:t>V § 2 písm. g) se na konci bodu 4 slovo „a“ nahrazuje čárkou.</w:t>
      </w:r>
    </w:p>
    <w:p w14:paraId="6E0A62D8" w14:textId="77777777" w:rsidR="00C462F9" w:rsidRDefault="00C462F9" w:rsidP="00C462F9">
      <w:pPr>
        <w:pStyle w:val="Odstavecseseznamem"/>
        <w:numPr>
          <w:ilvl w:val="0"/>
          <w:numId w:val="1"/>
        </w:numPr>
        <w:spacing w:before="240" w:after="200"/>
        <w:ind w:left="357" w:hanging="357"/>
      </w:pPr>
      <w:r>
        <w:t>V § 2 písm. g) se na konci bodu 5 čárka nahrazuje slovem „a“ a doplňuje se bod 6, který zní:</w:t>
      </w:r>
    </w:p>
    <w:p w14:paraId="6E0A62D9" w14:textId="77777777" w:rsidR="00C462F9" w:rsidRPr="00574874" w:rsidRDefault="00C462F9" w:rsidP="00C462F9">
      <w:pPr>
        <w:pStyle w:val="Odstavecseseznamem"/>
        <w:spacing w:before="240" w:after="200"/>
        <w:ind w:left="357"/>
        <w:jc w:val="both"/>
      </w:pPr>
      <w:r w:rsidRPr="001C15E7">
        <w:t>„6. proces vyhodnocení dat a reportování výsledků vyhodnocení ve struktuře řízení společnosti,“.</w:t>
      </w:r>
    </w:p>
    <w:p w14:paraId="6E0A62DA" w14:textId="77777777" w:rsidR="00C462F9" w:rsidRDefault="00C462F9" w:rsidP="00C462F9">
      <w:pPr>
        <w:pStyle w:val="Odstavecseseznamem"/>
        <w:numPr>
          <w:ilvl w:val="0"/>
          <w:numId w:val="1"/>
        </w:numPr>
        <w:spacing w:before="240" w:after="200"/>
        <w:ind w:left="357" w:hanging="357"/>
        <w:jc w:val="both"/>
      </w:pPr>
      <w:r w:rsidRPr="00574874">
        <w:t>V § 2 písm. h) bodě 4 se slova „</w:t>
      </w:r>
      <w:r>
        <w:t xml:space="preserve">pro oznamování </w:t>
      </w:r>
      <w:r w:rsidRPr="00574874">
        <w:t xml:space="preserve">závažných bezpečnostních a provozních incidentů podle </w:t>
      </w:r>
      <w:hyperlink r:id="rId11" w:history="1">
        <w:r w:rsidRPr="0096514D">
          <w:t>§</w:t>
        </w:r>
        <w:r>
          <w:t> </w:t>
        </w:r>
        <w:r w:rsidRPr="0096514D">
          <w:t>221 zákona</w:t>
        </w:r>
      </w:hyperlink>
      <w:r w:rsidRPr="0096514D">
        <w:t xml:space="preserve">“ nahrazují slovy </w:t>
      </w:r>
      <w:r w:rsidRPr="00574874">
        <w:t>„</w:t>
      </w:r>
      <w:r w:rsidRPr="00574874">
        <w:rPr>
          <w:u w:val="single"/>
        </w:rPr>
        <w:t xml:space="preserve">podle </w:t>
      </w:r>
      <w:r>
        <w:rPr>
          <w:u w:val="single"/>
        </w:rPr>
        <w:t xml:space="preserve">čl. 13 a </w:t>
      </w:r>
      <w:r w:rsidRPr="00574874">
        <w:rPr>
          <w:u w:val="single"/>
        </w:rPr>
        <w:t>kapitoly III nařízení Evropského parlamentu a Rady (EU) 2022/2554</w:t>
      </w:r>
      <w:r w:rsidRPr="00574874">
        <w:rPr>
          <w:u w:val="single"/>
          <w:vertAlign w:val="superscript"/>
        </w:rPr>
        <w:t>4)</w:t>
      </w:r>
      <w:r w:rsidRPr="00574874">
        <w:t>“.</w:t>
      </w:r>
    </w:p>
    <w:p w14:paraId="6E0A62DB" w14:textId="77777777" w:rsidR="00C462F9" w:rsidRPr="00574874" w:rsidRDefault="00C462F9" w:rsidP="00C462F9">
      <w:pPr>
        <w:pStyle w:val="Odstavecseseznamem"/>
        <w:spacing w:before="240" w:after="200"/>
        <w:ind w:left="357"/>
        <w:jc w:val="both"/>
      </w:pPr>
      <w:r w:rsidRPr="00574874">
        <w:t>Poznámka pod čarou č. 4 zní: „</w:t>
      </w:r>
      <w:r w:rsidRPr="003D2A5D">
        <w:rPr>
          <w:u w:val="single"/>
          <w:vertAlign w:val="superscript"/>
        </w:rPr>
        <w:t>4)</w:t>
      </w:r>
      <w:r w:rsidRPr="003D2A5D">
        <w:rPr>
          <w:u w:val="single"/>
        </w:rPr>
        <w:t xml:space="preserve"> Nařízení Evropského parlamentu a Rady (EU) 2022/2554 ze dne 14. prosince 2022 o digitální provozní odolnosti finančního sektoru a o změně nařízení (ES) č. 1060/2009, (EU) č. 648/2012, (EU) č. 600/2014, (EU) č. 909/2014 a (EU) 2016/1011.</w:t>
      </w:r>
      <w:r w:rsidRPr="00574874">
        <w:t>“.</w:t>
      </w:r>
    </w:p>
    <w:p w14:paraId="6E0A62DC" w14:textId="77777777" w:rsidR="00C462F9" w:rsidRPr="00574874" w:rsidRDefault="00C462F9" w:rsidP="00C462F9">
      <w:pPr>
        <w:pStyle w:val="Odstavecseseznamem"/>
        <w:spacing w:before="240" w:after="200"/>
        <w:ind w:left="360"/>
        <w:rPr>
          <w:i/>
        </w:rPr>
      </w:pPr>
      <w:r w:rsidRPr="00574874">
        <w:rPr>
          <w:i/>
        </w:rPr>
        <w:t>CELEX32022L2556</w:t>
      </w:r>
    </w:p>
    <w:p w14:paraId="6E0A62DD" w14:textId="77777777" w:rsidR="00C462F9" w:rsidRPr="00574874" w:rsidRDefault="00C462F9" w:rsidP="00C462F9">
      <w:pPr>
        <w:pStyle w:val="Odstavecseseznamem"/>
        <w:numPr>
          <w:ilvl w:val="0"/>
          <w:numId w:val="1"/>
        </w:numPr>
        <w:spacing w:before="240" w:after="200"/>
        <w:ind w:left="357" w:hanging="357"/>
        <w:jc w:val="both"/>
      </w:pPr>
      <w:r w:rsidRPr="00574874">
        <w:lastRenderedPageBreak/>
        <w:t xml:space="preserve">V § 2 písm. i), v § 3 písm. h), v § 6 písm. h), v § 8 písm. j), v § 11 písm. k), v § 14 písm. j) a v příloze č. 5 </w:t>
      </w:r>
      <w:r w:rsidRPr="00965C4F">
        <w:t>k vyhlášce č. 1/2022 Sb.</w:t>
      </w:r>
      <w:r>
        <w:t xml:space="preserve"> </w:t>
      </w:r>
      <w:r w:rsidRPr="00574874">
        <w:t>písm. f) se slova „zajištění kontinuity“ nahrazují slovy „</w:t>
      </w:r>
      <w:r w:rsidRPr="00574874">
        <w:rPr>
          <w:u w:val="single"/>
        </w:rPr>
        <w:t>zachování provozu</w:t>
      </w:r>
      <w:r w:rsidRPr="00574874">
        <w:t>“.</w:t>
      </w:r>
    </w:p>
    <w:p w14:paraId="6E0A62DE" w14:textId="77777777" w:rsidR="00C462F9" w:rsidRPr="00574874" w:rsidRDefault="00C462F9" w:rsidP="00C462F9">
      <w:pPr>
        <w:pStyle w:val="Odstavecseseznamem"/>
        <w:spacing w:before="240" w:after="200"/>
        <w:ind w:left="357"/>
      </w:pPr>
      <w:r w:rsidRPr="00574874">
        <w:rPr>
          <w:i/>
        </w:rPr>
        <w:t>CELEX32022L2556</w:t>
      </w:r>
    </w:p>
    <w:p w14:paraId="6E0A62DF" w14:textId="77777777" w:rsidR="00C462F9" w:rsidRPr="00574874" w:rsidRDefault="00C462F9" w:rsidP="00C462F9">
      <w:pPr>
        <w:pStyle w:val="Odstavecseseznamem"/>
        <w:numPr>
          <w:ilvl w:val="0"/>
          <w:numId w:val="1"/>
        </w:numPr>
        <w:spacing w:before="240" w:after="200"/>
        <w:ind w:left="357" w:hanging="357"/>
        <w:jc w:val="both"/>
      </w:pPr>
      <w:r w:rsidRPr="00574874">
        <w:t xml:space="preserve">V § 2 </w:t>
      </w:r>
      <w:r w:rsidRPr="00597B6A">
        <w:t xml:space="preserve">úvodní části písmene i) se slovo „obsahující“ nahrazuje slovy „, včetně popisu postupů pro testování těchto opatření </w:t>
      </w:r>
      <w:r w:rsidRPr="00597B6A">
        <w:rPr>
          <w:u w:val="single"/>
        </w:rPr>
        <w:t>podle nařízení Evropského parlamentu a Rady (EU) 2022/2554</w:t>
      </w:r>
      <w:r w:rsidRPr="00597B6A">
        <w:rPr>
          <w:u w:val="single"/>
          <w:vertAlign w:val="superscript"/>
        </w:rPr>
        <w:t>4</w:t>
      </w:r>
      <w:r w:rsidRPr="00597B6A">
        <w:rPr>
          <w:vertAlign w:val="superscript"/>
        </w:rPr>
        <w:t>)</w:t>
      </w:r>
      <w:r w:rsidRPr="00597B6A">
        <w:t>“.</w:t>
      </w:r>
    </w:p>
    <w:p w14:paraId="6E0A62E0" w14:textId="77777777" w:rsidR="00C462F9" w:rsidRPr="00574874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574874">
        <w:rPr>
          <w:i/>
        </w:rPr>
        <w:t>CELEX32022L2556</w:t>
      </w:r>
    </w:p>
    <w:p w14:paraId="6E0A62E1" w14:textId="77777777" w:rsidR="00C462F9" w:rsidRPr="00574874" w:rsidRDefault="00C462F9" w:rsidP="00C462F9">
      <w:pPr>
        <w:pStyle w:val="Odstavecseseznamem"/>
        <w:numPr>
          <w:ilvl w:val="0"/>
          <w:numId w:val="1"/>
        </w:numPr>
        <w:spacing w:before="240" w:after="200"/>
        <w:ind w:left="357" w:hanging="357"/>
      </w:pPr>
      <w:r w:rsidRPr="00574874">
        <w:t xml:space="preserve">V § 2 písm. </w:t>
      </w:r>
      <w:r>
        <w:t>i</w:t>
      </w:r>
      <w:r w:rsidRPr="00574874">
        <w:t>) se body 1 až 6 zrušují.</w:t>
      </w:r>
    </w:p>
    <w:p w14:paraId="6E0A62E2" w14:textId="77777777" w:rsidR="00C462F9" w:rsidRPr="00574874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574874">
        <w:rPr>
          <w:i/>
        </w:rPr>
        <w:t>CELEX32022L2556</w:t>
      </w:r>
    </w:p>
    <w:p w14:paraId="6E0A62E3" w14:textId="77777777" w:rsidR="00C462F9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574874">
        <w:t xml:space="preserve">V § 3 </w:t>
      </w:r>
      <w:r>
        <w:t xml:space="preserve">a </w:t>
      </w:r>
      <w:r w:rsidRPr="00574874">
        <w:t>v § 11 písm</w:t>
      </w:r>
      <w:r>
        <w:t>eno</w:t>
      </w:r>
      <w:r w:rsidRPr="00574874">
        <w:t xml:space="preserve"> q) </w:t>
      </w:r>
      <w:r>
        <w:t>zní:</w:t>
      </w:r>
      <w:r w:rsidRPr="00574874">
        <w:t xml:space="preserve"> </w:t>
      </w:r>
    </w:p>
    <w:p w14:paraId="6E0A62E4" w14:textId="77777777" w:rsidR="00C462F9" w:rsidRPr="003D2A5D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D5144D">
        <w:t>„</w:t>
      </w:r>
      <w:r w:rsidRPr="003D2A5D">
        <w:t xml:space="preserve">q) </w:t>
      </w:r>
      <w:r>
        <w:rPr>
          <w:lang w:eastAsia="en-US"/>
        </w:rPr>
        <w:t>popis rizik a popis opatření k jejich řízení zahrnující</w:t>
      </w:r>
    </w:p>
    <w:p w14:paraId="6E0A62E5" w14:textId="77777777" w:rsidR="00C462F9" w:rsidRPr="00AB5308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8C1BE9">
        <w:t xml:space="preserve">1. </w:t>
      </w:r>
      <w:r>
        <w:t xml:space="preserve">podrobné hodnocení rizik souvisejících s platebními službami, které žadatel poskytuje nebo hodlá poskytovat, včetně hodnocení rizika podvodného jednání, a bezpečnostní a kontrolní opatření a postupy ke zmírnění identifikovaných rizik a k ochraně držitelů elektronických peněz nebo uživatelů platebních služeb před těmito riziky, </w:t>
      </w:r>
    </w:p>
    <w:p w14:paraId="6E0A62E6" w14:textId="77777777" w:rsidR="00C462F9" w:rsidRPr="00AB5308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u w:val="single"/>
        </w:rPr>
      </w:pPr>
      <w:r w:rsidRPr="00AB5308">
        <w:rPr>
          <w:u w:val="single"/>
        </w:rPr>
        <w:t>2. popis systému řízení rizik žadatele podle kapitoly II nařízení Evropského parlamentu a Rady (EU) 2022/2554</w:t>
      </w:r>
      <w:r>
        <w:rPr>
          <w:u w:val="single"/>
          <w:vertAlign w:val="superscript"/>
        </w:rPr>
        <w:t>4</w:t>
      </w:r>
      <w:r w:rsidRPr="00AB5308">
        <w:rPr>
          <w:u w:val="single"/>
          <w:vertAlign w:val="superscript"/>
        </w:rPr>
        <w:t>)</w:t>
      </w:r>
      <w:r w:rsidRPr="00AB5308">
        <w:rPr>
          <w:u w:val="single"/>
        </w:rPr>
        <w:t>, a to včetně případů, kdy žadatel hodlá svěřit výkon některé provozní činnosti jiné osobě,</w:t>
      </w:r>
    </w:p>
    <w:p w14:paraId="6E0A62E7" w14:textId="77777777" w:rsidR="00C462F9" w:rsidRPr="00AB5308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AB5308">
        <w:rPr>
          <w:u w:val="single"/>
        </w:rPr>
        <w:t>3. vnitřní předpis nebo vnitřní předpisy, kterými bude žadatel zajišťovat implementaci bezpečnostních a kontrolních opatření a postupů ke zmírnění rizik podle bodu 1 a ze kterých bude zřejmé naplnění požadavků podle kapitoly II nařízení Evropského parlamentu a Rady (EU) 2022/2554</w:t>
      </w:r>
      <w:r>
        <w:rPr>
          <w:u w:val="single"/>
          <w:vertAlign w:val="superscript"/>
        </w:rPr>
        <w:t>4</w:t>
      </w:r>
      <w:r w:rsidRPr="00AB5308">
        <w:rPr>
          <w:u w:val="single"/>
          <w:vertAlign w:val="superscript"/>
        </w:rPr>
        <w:t>)</w:t>
      </w:r>
      <w:r w:rsidRPr="00AB5308">
        <w:rPr>
          <w:u w:val="single"/>
        </w:rPr>
        <w:t>,</w:t>
      </w:r>
      <w:r w:rsidRPr="00AB5308">
        <w:t>“.</w:t>
      </w:r>
    </w:p>
    <w:p w14:paraId="6E0A62E8" w14:textId="77777777" w:rsidR="00C462F9" w:rsidRPr="00574874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i/>
        </w:rPr>
      </w:pPr>
      <w:r w:rsidRPr="00574874">
        <w:rPr>
          <w:i/>
        </w:rPr>
        <w:t>CELEX32022L2556</w:t>
      </w:r>
    </w:p>
    <w:p w14:paraId="6E0A62E9" w14:textId="77777777" w:rsidR="00C462F9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>
        <w:t>V § 6 písmeno k) zní:</w:t>
      </w:r>
    </w:p>
    <w:p w14:paraId="6E0A62EA" w14:textId="77777777" w:rsidR="00C462F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lang w:eastAsia="en-US"/>
        </w:rPr>
      </w:pPr>
      <w:r w:rsidRPr="009B6CA4">
        <w:t>„</w:t>
      </w:r>
      <w:r>
        <w:t>k</w:t>
      </w:r>
      <w:r w:rsidRPr="003C7BEE">
        <w:t xml:space="preserve">) </w:t>
      </w:r>
      <w:r>
        <w:rPr>
          <w:lang w:eastAsia="en-US"/>
        </w:rPr>
        <w:t>popis rizik a popis opatření k jejich řízení zahrnující</w:t>
      </w:r>
    </w:p>
    <w:p w14:paraId="6E0A62EB" w14:textId="77777777" w:rsidR="00C462F9" w:rsidRPr="00D0716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8C1BE9">
        <w:t xml:space="preserve">1. </w:t>
      </w:r>
      <w:r>
        <w:t xml:space="preserve">podrobné hodnocení rizik souvisejících s platebními službami, které žadatel poskytuje nebo hodlá poskytovat, včetně hodnocení rizika podvodného jednání, a bezpečnostní a kontrolní opatření a postupy ke zmírnění identifikovaných rizik a k ochraně držitelů elektronických peněz nebo uživatelů platebních služeb před těmito riziky, </w:t>
      </w:r>
    </w:p>
    <w:p w14:paraId="6E0A62EC" w14:textId="77777777" w:rsidR="00C462F9" w:rsidRPr="00D0716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u w:val="single"/>
        </w:rPr>
      </w:pPr>
      <w:r w:rsidRPr="00D07169">
        <w:rPr>
          <w:u w:val="single"/>
        </w:rPr>
        <w:t>2. popis systému řízení rizik žadatele podle kapitoly II nařízení Evropského parlamentu a Rady (EU) 2022/2554</w:t>
      </w:r>
      <w:r>
        <w:rPr>
          <w:u w:val="single"/>
          <w:vertAlign w:val="superscript"/>
        </w:rPr>
        <w:t>4</w:t>
      </w:r>
      <w:r w:rsidRPr="00AB5308">
        <w:rPr>
          <w:u w:val="single"/>
          <w:vertAlign w:val="superscript"/>
        </w:rPr>
        <w:t>)</w:t>
      </w:r>
      <w:r w:rsidRPr="00D07169">
        <w:rPr>
          <w:u w:val="single"/>
        </w:rPr>
        <w:t>, a to včetně případů, kdy žadatel hodlá svěřit výkon některé provozní činnosti jiné osobě,</w:t>
      </w:r>
    </w:p>
    <w:p w14:paraId="6E0A62ED" w14:textId="77777777" w:rsidR="00C462F9" w:rsidRPr="00D0716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D07169">
        <w:rPr>
          <w:u w:val="single"/>
        </w:rPr>
        <w:t>3. vnitřní předpis nebo vnitřní předpisy, kterými bude žadatel zajišťovat implementaci bezpečnostních a kontrolních opatření a postupů ke zmírnění rizik podle bodu 1 a ze kterých bude zřejmé naplnění požadavků podle kapitoly II nařízení Evropského parlamentu a Rady (EU) 2022/2554</w:t>
      </w:r>
      <w:r>
        <w:rPr>
          <w:u w:val="single"/>
          <w:vertAlign w:val="superscript"/>
        </w:rPr>
        <w:t>4</w:t>
      </w:r>
      <w:r w:rsidRPr="00AB5308">
        <w:rPr>
          <w:u w:val="single"/>
          <w:vertAlign w:val="superscript"/>
        </w:rPr>
        <w:t>)</w:t>
      </w:r>
      <w:r w:rsidRPr="00D07169">
        <w:rPr>
          <w:u w:val="single"/>
        </w:rPr>
        <w:t>,</w:t>
      </w:r>
      <w:r w:rsidRPr="00D07169">
        <w:t>“.</w:t>
      </w:r>
    </w:p>
    <w:p w14:paraId="6E0A62EE" w14:textId="77777777" w:rsidR="00C462F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i/>
        </w:rPr>
      </w:pPr>
      <w:r w:rsidRPr="00574874">
        <w:rPr>
          <w:i/>
        </w:rPr>
        <w:t>CELEX32022L2556</w:t>
      </w:r>
    </w:p>
    <w:p w14:paraId="6E0A62EF" w14:textId="77777777" w:rsidR="00C462F9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>
        <w:t>V § 8 a v § 14 písmeno p) zní:</w:t>
      </w:r>
    </w:p>
    <w:p w14:paraId="6E0A62F0" w14:textId="77777777" w:rsidR="00C462F9" w:rsidRPr="003C7BEE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9B6CA4">
        <w:t>„</w:t>
      </w:r>
      <w:r>
        <w:t>p</w:t>
      </w:r>
      <w:r w:rsidRPr="003C7BEE">
        <w:t xml:space="preserve">) </w:t>
      </w:r>
      <w:r>
        <w:rPr>
          <w:lang w:eastAsia="en-US"/>
        </w:rPr>
        <w:t>popis rizik a popis opatření k jejich řízení zahrnující</w:t>
      </w:r>
      <w:r w:rsidRPr="003C7BEE" w:rsidDel="00842889">
        <w:t xml:space="preserve"> </w:t>
      </w:r>
    </w:p>
    <w:p w14:paraId="6E0A62F1" w14:textId="77777777" w:rsidR="00C462F9" w:rsidRPr="00D0716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8C1BE9">
        <w:lastRenderedPageBreak/>
        <w:t xml:space="preserve">1. </w:t>
      </w:r>
      <w:r>
        <w:t xml:space="preserve">podrobné hodnocení rizik souvisejících s platebními službami, které žadatel poskytuje nebo hodlá poskytovat, včetně hodnocení rizika podvodného jednání, a bezpečnostní a kontrolní opatření a postupy ke zmírnění identifikovaných rizik a k ochraně držitelů elektronických peněz nebo uživatelů platebních služeb před těmito riziky, </w:t>
      </w:r>
    </w:p>
    <w:p w14:paraId="6E0A62F2" w14:textId="77777777" w:rsidR="00C462F9" w:rsidRPr="00D0716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u w:val="single"/>
        </w:rPr>
      </w:pPr>
      <w:r w:rsidRPr="00D07169">
        <w:rPr>
          <w:u w:val="single"/>
        </w:rPr>
        <w:t>2. popis systému řízení rizik žadatele podle kapitoly II nařízení Evropského parlamentu a Rady (EU) 2022/2554</w:t>
      </w:r>
      <w:r>
        <w:rPr>
          <w:u w:val="single"/>
          <w:vertAlign w:val="superscript"/>
        </w:rPr>
        <w:t>4</w:t>
      </w:r>
      <w:r w:rsidRPr="00AB5308">
        <w:rPr>
          <w:u w:val="single"/>
          <w:vertAlign w:val="superscript"/>
        </w:rPr>
        <w:t>)</w:t>
      </w:r>
      <w:r w:rsidRPr="00D07169">
        <w:rPr>
          <w:u w:val="single"/>
        </w:rPr>
        <w:t>, a to včetně případů, kdy žadatel hodlá svěřit výkon některé provozní činnosti jiné osobě,</w:t>
      </w:r>
    </w:p>
    <w:p w14:paraId="6E0A62F3" w14:textId="77777777" w:rsidR="00C462F9" w:rsidRPr="00D0716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</w:pPr>
      <w:r w:rsidRPr="00D07169">
        <w:rPr>
          <w:u w:val="single"/>
        </w:rPr>
        <w:t>3. vnitřní předpis nebo vnitřní předpisy, kterými bude žadatel zajišťovat implementaci bezpečnostních a kontrolních opatření a postupů ke zmírnění rizik podle bodu 1 a ze kterých bude zřejmé naplnění požadavků podle kapitoly II nařízení Evropského parlamentu a Rady (EU) 2022/2554</w:t>
      </w:r>
      <w:r>
        <w:rPr>
          <w:u w:val="single"/>
          <w:vertAlign w:val="superscript"/>
        </w:rPr>
        <w:t>4</w:t>
      </w:r>
      <w:r w:rsidRPr="00AB5308">
        <w:rPr>
          <w:u w:val="single"/>
          <w:vertAlign w:val="superscript"/>
        </w:rPr>
        <w:t>)</w:t>
      </w:r>
      <w:r w:rsidRPr="00D07169">
        <w:rPr>
          <w:u w:val="single"/>
        </w:rPr>
        <w:t>,</w:t>
      </w:r>
      <w:r w:rsidRPr="00D07169">
        <w:t>“.</w:t>
      </w:r>
    </w:p>
    <w:p w14:paraId="6E0A62F4" w14:textId="77777777" w:rsidR="00C462F9" w:rsidRPr="008C1BE9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i/>
        </w:rPr>
      </w:pPr>
      <w:r w:rsidRPr="00574874">
        <w:rPr>
          <w:i/>
        </w:rPr>
        <w:t>CELEX32022L2556</w:t>
      </w:r>
    </w:p>
    <w:p w14:paraId="6E0A62F5" w14:textId="77777777" w:rsidR="00C462F9" w:rsidRPr="00574874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574874">
        <w:t xml:space="preserve">V příloze č. 2 </w:t>
      </w:r>
      <w:r w:rsidRPr="00965C4F">
        <w:t>k vyhlášce č. 1/2022 Sb.</w:t>
      </w:r>
      <w:r>
        <w:t xml:space="preserve"> </w:t>
      </w:r>
      <w:r w:rsidRPr="00574874">
        <w:t>písm. c) bodě 3 se slova „toku peněžních prostředků prováděné platební transakce“ nahrazují slovy „a podrobný rozpis odhadovaných peněžních toků (cash flow)“.</w:t>
      </w:r>
    </w:p>
    <w:p w14:paraId="6E0A62F6" w14:textId="77777777" w:rsidR="00C462F9" w:rsidRPr="00574874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574874">
        <w:t xml:space="preserve">V příloze č. 3 </w:t>
      </w:r>
      <w:r w:rsidRPr="00965C4F">
        <w:t>k vyhlášce č. 1/2022 Sb.</w:t>
      </w:r>
      <w:r>
        <w:t xml:space="preserve"> </w:t>
      </w:r>
      <w:r w:rsidRPr="00574874">
        <w:t xml:space="preserve">písm. d) bodě 3 a bodě 7 se text „§ 19“ nahrazuje textem „§ 17“. </w:t>
      </w:r>
    </w:p>
    <w:p w14:paraId="6E0A62F7" w14:textId="77777777" w:rsidR="00C462F9" w:rsidRPr="00574874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574874">
        <w:t xml:space="preserve">V příloze č. 4 </w:t>
      </w:r>
      <w:r w:rsidRPr="00965C4F">
        <w:t>k vyhlášce č. 1/2022 Sb.</w:t>
      </w:r>
      <w:r>
        <w:t xml:space="preserve"> </w:t>
      </w:r>
      <w:r w:rsidRPr="00574874">
        <w:t xml:space="preserve">písm. b) se slovo „doklady“ nahrazuje slovem „informace“. </w:t>
      </w:r>
    </w:p>
    <w:p w14:paraId="6E0A62F8" w14:textId="77777777" w:rsidR="00C462F9" w:rsidRPr="00574874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574874">
        <w:t xml:space="preserve">V příloze č. 5 </w:t>
      </w:r>
      <w:r w:rsidRPr="00965C4F">
        <w:t>k vyhlášce č. 1/2022 Sb.</w:t>
      </w:r>
      <w:r>
        <w:t xml:space="preserve"> </w:t>
      </w:r>
      <w:r w:rsidRPr="00574874">
        <w:t>se na konci písmene h) slovo „a“ zrušuje.</w:t>
      </w:r>
    </w:p>
    <w:p w14:paraId="6E0A62F9" w14:textId="77777777" w:rsidR="00C462F9" w:rsidRPr="00574874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574874">
        <w:t xml:space="preserve">V příloze č. 5 </w:t>
      </w:r>
      <w:r w:rsidRPr="00965C4F">
        <w:t>k vyhlášce č. 1/2022 Sb.</w:t>
      </w:r>
      <w:r>
        <w:t xml:space="preserve"> </w:t>
      </w:r>
      <w:r w:rsidRPr="00574874">
        <w:t>se na konci písmene i) tečka nahrazuje slovem „a“ a doplňuje se písmeno j), které zní:</w:t>
      </w:r>
    </w:p>
    <w:p w14:paraId="6E0A62FA" w14:textId="77777777" w:rsidR="00C462F9" w:rsidRPr="00574874" w:rsidRDefault="00C462F9" w:rsidP="00C462F9">
      <w:pPr>
        <w:widowControl w:val="0"/>
        <w:autoSpaceDE w:val="0"/>
        <w:autoSpaceDN w:val="0"/>
        <w:adjustRightInd w:val="0"/>
        <w:spacing w:after="120"/>
        <w:ind w:left="360"/>
        <w:rPr>
          <w:szCs w:val="24"/>
        </w:rPr>
      </w:pPr>
      <w:r w:rsidRPr="00574874">
        <w:rPr>
          <w:szCs w:val="24"/>
        </w:rPr>
        <w:t>„</w:t>
      </w:r>
      <w:r w:rsidRPr="00574874">
        <w:rPr>
          <w:szCs w:val="24"/>
          <w:u w:val="single"/>
        </w:rPr>
        <w:t>j) popis zásad pro využívání služeb informačních a komunikačních technologií podle kapitoly V, oddílu I nařízení Evropského parlamentu a Rady (EU) 2022/2554</w:t>
      </w:r>
      <w:r w:rsidRPr="00574874">
        <w:rPr>
          <w:szCs w:val="24"/>
          <w:u w:val="single"/>
          <w:vertAlign w:val="superscript"/>
        </w:rPr>
        <w:t>4)</w:t>
      </w:r>
      <w:r w:rsidRPr="00574874">
        <w:rPr>
          <w:szCs w:val="24"/>
          <w:u w:val="single"/>
        </w:rPr>
        <w:t>.</w:t>
      </w:r>
      <w:r w:rsidRPr="00574874">
        <w:rPr>
          <w:szCs w:val="24"/>
        </w:rPr>
        <w:t>“.</w:t>
      </w:r>
    </w:p>
    <w:p w14:paraId="6E0A62FB" w14:textId="77777777" w:rsidR="00C462F9" w:rsidRPr="00574874" w:rsidRDefault="00C462F9" w:rsidP="00C462F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rPr>
          <w:i/>
        </w:rPr>
      </w:pPr>
      <w:r w:rsidRPr="00574874">
        <w:rPr>
          <w:i/>
        </w:rPr>
        <w:t>CELEX32022L2556</w:t>
      </w:r>
    </w:p>
    <w:p w14:paraId="6E0A62FC" w14:textId="77777777" w:rsidR="00C462F9" w:rsidRPr="00574874" w:rsidRDefault="00C462F9" w:rsidP="00C462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574874">
        <w:t xml:space="preserve">Příloha č. 6 </w:t>
      </w:r>
      <w:r w:rsidRPr="00965C4F">
        <w:t>k vyhlášce č. 1/2022 Sb.</w:t>
      </w:r>
      <w:r w:rsidRPr="00965C4F">
        <w:rPr>
          <w:b/>
          <w:bCs/>
        </w:rPr>
        <w:t xml:space="preserve"> </w:t>
      </w:r>
      <w:r w:rsidRPr="00965C4F">
        <w:t>se</w:t>
      </w:r>
      <w:r w:rsidRPr="00574874">
        <w:t xml:space="preserve"> zrušuje.</w:t>
      </w:r>
    </w:p>
    <w:p w14:paraId="6E0A62FD" w14:textId="77777777" w:rsidR="00C462F9" w:rsidRPr="00574874" w:rsidRDefault="00C462F9" w:rsidP="00C462F9">
      <w:pPr>
        <w:pStyle w:val="Odstavecseseznamem"/>
        <w:spacing w:before="360"/>
        <w:ind w:left="0"/>
        <w:jc w:val="center"/>
      </w:pPr>
      <w:r w:rsidRPr="00574874">
        <w:t>ČÁST DRUHÁ</w:t>
      </w:r>
    </w:p>
    <w:p w14:paraId="6E0A62FE" w14:textId="77777777" w:rsidR="00C462F9" w:rsidRPr="00574874" w:rsidRDefault="00C462F9" w:rsidP="00C462F9">
      <w:pPr>
        <w:pStyle w:val="Odstavecseseznamem"/>
        <w:spacing w:before="120"/>
        <w:ind w:left="357"/>
        <w:jc w:val="center"/>
        <w:rPr>
          <w:b/>
        </w:rPr>
      </w:pPr>
      <w:r w:rsidRPr="00574874">
        <w:rPr>
          <w:b/>
        </w:rPr>
        <w:t xml:space="preserve">Změna vyhlášky </w:t>
      </w:r>
      <w:r w:rsidRPr="00574874">
        <w:rPr>
          <w:b/>
          <w:bCs/>
        </w:rPr>
        <w:t>o některých podmínkách výkonu činnosti platební instituce, správce informací o platebním účtu, poskytovatele platebních služeb malého rozsahu, instituce elektronických peněz a vydavatele elektronických peněz malého rozsahu</w:t>
      </w:r>
    </w:p>
    <w:p w14:paraId="6E0A62FF" w14:textId="77777777" w:rsidR="00C462F9" w:rsidRPr="00574874" w:rsidRDefault="00C462F9" w:rsidP="00C462F9">
      <w:pPr>
        <w:jc w:val="center"/>
        <w:rPr>
          <w:szCs w:val="24"/>
        </w:rPr>
      </w:pPr>
    </w:p>
    <w:p w14:paraId="6E0A6300" w14:textId="77777777" w:rsidR="00C462F9" w:rsidRPr="00574874" w:rsidRDefault="00C462F9" w:rsidP="00C462F9">
      <w:pPr>
        <w:jc w:val="center"/>
        <w:rPr>
          <w:szCs w:val="24"/>
        </w:rPr>
      </w:pPr>
      <w:r w:rsidRPr="00574874">
        <w:rPr>
          <w:szCs w:val="24"/>
        </w:rPr>
        <w:t>Čl. II</w:t>
      </w:r>
    </w:p>
    <w:p w14:paraId="6E0A6301" w14:textId="77777777" w:rsidR="00C462F9" w:rsidRPr="00574874" w:rsidRDefault="00C462F9" w:rsidP="00C462F9">
      <w:pPr>
        <w:jc w:val="center"/>
        <w:rPr>
          <w:color w:val="FF0000"/>
          <w:szCs w:val="24"/>
        </w:rPr>
      </w:pPr>
    </w:p>
    <w:p w14:paraId="6E0A6302" w14:textId="77777777" w:rsidR="00C462F9" w:rsidRPr="00574874" w:rsidRDefault="00C462F9" w:rsidP="00C462F9">
      <w:pPr>
        <w:rPr>
          <w:bCs/>
          <w:szCs w:val="24"/>
        </w:rPr>
      </w:pPr>
      <w:r w:rsidRPr="00574874">
        <w:rPr>
          <w:szCs w:val="24"/>
        </w:rPr>
        <w:t>Vyhláška č. 7/2018 Sb., o některých podmínkách výkonu činnosti platební instituce, správce informací o platebním účtu, poskytovatele platebních služeb malého rozsahu, instituce elektronických peněz a vydavatele elektronických peněz malého rozsahu, ve znění vyhlášky č.</w:t>
      </w:r>
      <w:r>
        <w:rPr>
          <w:szCs w:val="24"/>
        </w:rPr>
        <w:t> </w:t>
      </w:r>
      <w:r w:rsidRPr="00574874">
        <w:rPr>
          <w:szCs w:val="24"/>
        </w:rPr>
        <w:t>2/2022 Sb. a vyhlášky č. 151/2022 Sb., se mění takto</w:t>
      </w:r>
      <w:r w:rsidRPr="00574874">
        <w:rPr>
          <w:bCs/>
          <w:szCs w:val="24"/>
        </w:rPr>
        <w:t>:</w:t>
      </w:r>
    </w:p>
    <w:p w14:paraId="6E0A6303" w14:textId="77777777" w:rsidR="00C462F9" w:rsidRPr="00574874" w:rsidRDefault="00C462F9" w:rsidP="00C462F9">
      <w:pPr>
        <w:pStyle w:val="Odstavecseseznamem"/>
        <w:numPr>
          <w:ilvl w:val="0"/>
          <w:numId w:val="2"/>
        </w:numPr>
        <w:spacing w:before="240" w:after="200"/>
        <w:jc w:val="both"/>
      </w:pPr>
      <w:r w:rsidRPr="00574874">
        <w:t xml:space="preserve">V poznámce pod čarou č. 1 věta první zní: „Čl. 4 bod 46, čl. 8 odst. 2, čl. 9 odst. 1 /část/, čl. 9 odst. 2 a čl. 95 odst. 1 směrnice Evropského parlamentu a Rady (EU) 2015/2366 ze dne 25. listopadu 2015 o platebních službách na vnitřním trhu, kterou se mění směrnice 2002/65/ES, 2009/110/ES a 2013/36/EU a nařízení (EU) č. 1093/2010 a zrušuje směrnice 2007/64/ES, </w:t>
      </w:r>
      <w:r w:rsidRPr="00574874">
        <w:rPr>
          <w:u w:val="single"/>
        </w:rPr>
        <w:t>v platném znění</w:t>
      </w:r>
      <w:r w:rsidRPr="00574874">
        <w:t xml:space="preserve">“. </w:t>
      </w:r>
    </w:p>
    <w:p w14:paraId="6E0A6304" w14:textId="77777777" w:rsidR="00C462F9" w:rsidRPr="00574874" w:rsidRDefault="00C462F9" w:rsidP="00C462F9">
      <w:pPr>
        <w:pStyle w:val="Odstavecseseznamem"/>
        <w:spacing w:after="200"/>
        <w:ind w:left="357"/>
        <w:jc w:val="both"/>
        <w:rPr>
          <w:i/>
        </w:rPr>
      </w:pPr>
      <w:r w:rsidRPr="00574874">
        <w:rPr>
          <w:i/>
        </w:rPr>
        <w:lastRenderedPageBreak/>
        <w:t>CELEX32022L2556</w:t>
      </w:r>
    </w:p>
    <w:p w14:paraId="6E0A6305" w14:textId="77777777" w:rsidR="00C462F9" w:rsidRPr="00574874" w:rsidRDefault="00C462F9" w:rsidP="00C462F9">
      <w:pPr>
        <w:pStyle w:val="Odstavecseseznamem"/>
        <w:numPr>
          <w:ilvl w:val="0"/>
          <w:numId w:val="2"/>
        </w:numPr>
        <w:spacing w:before="240" w:after="200"/>
        <w:ind w:left="357" w:hanging="357"/>
        <w:jc w:val="both"/>
      </w:pPr>
      <w:r w:rsidRPr="00574874">
        <w:t>V § 4 odstavec 2 zní:</w:t>
      </w:r>
    </w:p>
    <w:p w14:paraId="6E0A6306" w14:textId="77777777" w:rsidR="00C462F9" w:rsidRPr="00574874" w:rsidRDefault="00C462F9" w:rsidP="00C462F9">
      <w:pPr>
        <w:pStyle w:val="Odstavecseseznamem"/>
        <w:spacing w:before="240" w:after="200"/>
        <w:ind w:left="357"/>
        <w:jc w:val="both"/>
        <w:rPr>
          <w:u w:val="single"/>
        </w:rPr>
      </w:pPr>
      <w:r w:rsidRPr="00574874">
        <w:rPr>
          <w:u w:val="single"/>
        </w:rPr>
        <w:t>„(2) Odstavcem 1 nejsou dotčeny povinnosti platební instituce podle kapitoly II nařízení Evropského parlamentu a Rady (EU) 2022/2554 ze dne 14. prosince 2022 o digitální provozní odolnosti finančního sektoru a o změně nařízení (ES) č. 1060/2009, (EU) č.</w:t>
      </w:r>
      <w:r>
        <w:rPr>
          <w:u w:val="single"/>
        </w:rPr>
        <w:t> </w:t>
      </w:r>
      <w:r w:rsidRPr="00574874">
        <w:rPr>
          <w:u w:val="single"/>
        </w:rPr>
        <w:t>648/2012, (EU) č. 600/2014, (EU) č. 909/2014 a (EU) 2016/1011.“.</w:t>
      </w:r>
    </w:p>
    <w:p w14:paraId="6E0A6307" w14:textId="77777777" w:rsidR="00C462F9" w:rsidRPr="00574874" w:rsidRDefault="00C462F9" w:rsidP="00C462F9">
      <w:pPr>
        <w:pStyle w:val="Odstavecseseznamem"/>
        <w:spacing w:after="200"/>
        <w:ind w:left="357"/>
        <w:jc w:val="both"/>
        <w:rPr>
          <w:i/>
        </w:rPr>
      </w:pPr>
      <w:r w:rsidRPr="00574874">
        <w:rPr>
          <w:i/>
        </w:rPr>
        <w:t>CELEX32022L2556</w:t>
      </w:r>
    </w:p>
    <w:p w14:paraId="6E0A6308" w14:textId="77777777" w:rsidR="00C462F9" w:rsidRPr="00574874" w:rsidRDefault="00C462F9" w:rsidP="00C462F9">
      <w:pPr>
        <w:pStyle w:val="Odstavecseseznamem"/>
        <w:numPr>
          <w:ilvl w:val="0"/>
          <w:numId w:val="2"/>
        </w:numPr>
        <w:spacing w:before="240" w:after="200"/>
        <w:ind w:left="357" w:hanging="357"/>
        <w:jc w:val="both"/>
      </w:pPr>
      <w:r w:rsidRPr="00574874">
        <w:t>V § 4 se odstavce 3 a 4 zrušují.</w:t>
      </w:r>
    </w:p>
    <w:p w14:paraId="6E0A6309" w14:textId="77777777" w:rsidR="00C462F9" w:rsidRPr="00574874" w:rsidRDefault="00C462F9" w:rsidP="00C462F9">
      <w:pPr>
        <w:pStyle w:val="Odstavecseseznamem"/>
        <w:numPr>
          <w:ilvl w:val="0"/>
          <w:numId w:val="2"/>
        </w:numPr>
        <w:spacing w:before="240" w:after="200"/>
        <w:ind w:left="357" w:hanging="357"/>
        <w:jc w:val="both"/>
      </w:pPr>
      <w:r w:rsidRPr="00574874">
        <w:t>Příloha k vyhlášce č. 7/2018 Sb. se zrušuje.</w:t>
      </w:r>
    </w:p>
    <w:p w14:paraId="6E0A630A" w14:textId="77777777" w:rsidR="00C462F9" w:rsidRPr="00574874" w:rsidRDefault="00C462F9" w:rsidP="00C462F9">
      <w:pPr>
        <w:pStyle w:val="Odstavecseseznamem"/>
        <w:spacing w:before="480"/>
        <w:ind w:left="0"/>
        <w:jc w:val="center"/>
      </w:pPr>
      <w:r w:rsidRPr="00574874">
        <w:t>ČÁST TŘETÍ</w:t>
      </w:r>
    </w:p>
    <w:p w14:paraId="6E0A630B" w14:textId="77777777" w:rsidR="00C462F9" w:rsidRPr="00574874" w:rsidRDefault="00C462F9" w:rsidP="00C462F9">
      <w:pPr>
        <w:jc w:val="center"/>
        <w:rPr>
          <w:color w:val="FF0000"/>
          <w:szCs w:val="24"/>
        </w:rPr>
      </w:pPr>
    </w:p>
    <w:p w14:paraId="6E0A630C" w14:textId="77777777" w:rsidR="00C462F9" w:rsidRPr="00574874" w:rsidRDefault="00C462F9" w:rsidP="00C462F9">
      <w:pPr>
        <w:spacing w:after="240"/>
        <w:jc w:val="center"/>
        <w:rPr>
          <w:b/>
          <w:szCs w:val="24"/>
        </w:rPr>
      </w:pPr>
      <w:r w:rsidRPr="00574874">
        <w:rPr>
          <w:b/>
          <w:szCs w:val="24"/>
        </w:rPr>
        <w:t>ÚČINNOST</w:t>
      </w:r>
    </w:p>
    <w:p w14:paraId="6E0A630D" w14:textId="77777777" w:rsidR="00C462F9" w:rsidRPr="00574874" w:rsidRDefault="00C462F9" w:rsidP="00C462F9">
      <w:pPr>
        <w:spacing w:after="240"/>
        <w:jc w:val="center"/>
        <w:rPr>
          <w:szCs w:val="24"/>
        </w:rPr>
      </w:pPr>
      <w:r w:rsidRPr="00574874">
        <w:rPr>
          <w:szCs w:val="24"/>
        </w:rPr>
        <w:t>Čl. III</w:t>
      </w:r>
    </w:p>
    <w:p w14:paraId="6E0A630E" w14:textId="77777777" w:rsidR="00C462F9" w:rsidRPr="00574874" w:rsidRDefault="00C462F9" w:rsidP="00C462F9">
      <w:pPr>
        <w:widowControl w:val="0"/>
        <w:autoSpaceDE w:val="0"/>
        <w:autoSpaceDN w:val="0"/>
        <w:adjustRightInd w:val="0"/>
        <w:spacing w:after="600"/>
        <w:rPr>
          <w:szCs w:val="24"/>
        </w:rPr>
      </w:pPr>
      <w:r w:rsidRPr="00574874">
        <w:rPr>
          <w:szCs w:val="24"/>
        </w:rPr>
        <w:t>Tato vyhláška nabývá účinnosti dnem 17. ledna 2025.</w:t>
      </w:r>
    </w:p>
    <w:p w14:paraId="6E0A630F" w14:textId="77777777" w:rsidR="00C462F9" w:rsidRDefault="00C462F9" w:rsidP="00C462F9">
      <w:pPr>
        <w:widowControl w:val="0"/>
        <w:autoSpaceDE w:val="0"/>
        <w:autoSpaceDN w:val="0"/>
        <w:adjustRightInd w:val="0"/>
        <w:jc w:val="center"/>
      </w:pPr>
      <w:r w:rsidRPr="00574874">
        <w:t>Guvernér:</w:t>
      </w:r>
    </w:p>
    <w:p w14:paraId="6E0A6310" w14:textId="77777777" w:rsidR="00187CF7" w:rsidRDefault="00187CF7" w:rsidP="00C462F9">
      <w:pPr>
        <w:spacing w:after="200" w:line="276" w:lineRule="auto"/>
        <w:jc w:val="left"/>
      </w:pPr>
    </w:p>
    <w:sectPr w:rsidR="00187CF7" w:rsidSect="000B145B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6313" w14:textId="77777777" w:rsidR="000B145B" w:rsidRDefault="000B145B" w:rsidP="000B145B">
      <w:r>
        <w:separator/>
      </w:r>
    </w:p>
  </w:endnote>
  <w:endnote w:type="continuationSeparator" w:id="0">
    <w:p w14:paraId="6E0A6314" w14:textId="77777777" w:rsidR="000B145B" w:rsidRDefault="000B145B" w:rsidP="000B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003240"/>
      <w:docPartObj>
        <w:docPartGallery w:val="Page Numbers (Bottom of Page)"/>
        <w:docPartUnique/>
      </w:docPartObj>
    </w:sdtPr>
    <w:sdtEndPr/>
    <w:sdtContent>
      <w:p w14:paraId="6E0A6315" w14:textId="1AFD68BD" w:rsidR="000B145B" w:rsidRDefault="000B14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0BB">
          <w:rPr>
            <w:noProof/>
          </w:rPr>
          <w:t>2</w:t>
        </w:r>
        <w:r>
          <w:fldChar w:fldCharType="end"/>
        </w:r>
      </w:p>
    </w:sdtContent>
  </w:sdt>
  <w:p w14:paraId="6E0A6316" w14:textId="77777777" w:rsidR="000B145B" w:rsidRDefault="000B1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A6311" w14:textId="77777777" w:rsidR="000B145B" w:rsidRDefault="000B145B" w:rsidP="000B145B">
      <w:r>
        <w:separator/>
      </w:r>
    </w:p>
  </w:footnote>
  <w:footnote w:type="continuationSeparator" w:id="0">
    <w:p w14:paraId="6E0A6312" w14:textId="77777777" w:rsidR="000B145B" w:rsidRDefault="000B145B" w:rsidP="000B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3AE"/>
    <w:multiLevelType w:val="hybridMultilevel"/>
    <w:tmpl w:val="BD38817E"/>
    <w:lvl w:ilvl="0" w:tplc="A6BC1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D73D5"/>
    <w:multiLevelType w:val="hybridMultilevel"/>
    <w:tmpl w:val="BD38817E"/>
    <w:lvl w:ilvl="0" w:tplc="A6BC1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637526">
    <w:abstractNumId w:val="0"/>
  </w:num>
  <w:num w:numId="2" w16cid:durableId="114184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F9"/>
    <w:rsid w:val="00021549"/>
    <w:rsid w:val="000B145B"/>
    <w:rsid w:val="00187CF7"/>
    <w:rsid w:val="006220BB"/>
    <w:rsid w:val="00C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62C7"/>
  <w15:chartTrackingRefBased/>
  <w15:docId w15:val="{81331599-50DA-4895-95D9-DF13409B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2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Paragraphe EI,Paragraphe de liste1,EC,Paragraphe de liste,Dot pt,F5 List Paragraph,List Paragraph1,Normal numbered,No Spacing1,List Paragraph Char Char Char,Indicator Text,Numbered Para 1,Bullet 1,Bullet Points,MAIN CONTENT"/>
    <w:basedOn w:val="Normln"/>
    <w:link w:val="OdstavecseseznamemChar"/>
    <w:uiPriority w:val="34"/>
    <w:qFormat/>
    <w:rsid w:val="00C462F9"/>
    <w:pPr>
      <w:ind w:left="720"/>
      <w:jc w:val="left"/>
    </w:pPr>
    <w:rPr>
      <w:rFonts w:eastAsia="Calibri"/>
      <w:szCs w:val="24"/>
    </w:rPr>
  </w:style>
  <w:style w:type="character" w:customStyle="1" w:styleId="OdstavecseseznamemChar">
    <w:name w:val="Odstavec se seznamem Char"/>
    <w:aliases w:val="Paragraphe EI Char,Paragraphe de liste1 Char,EC Char,Paragraphe de liste Char,Dot pt Char,F5 List Paragraph Char,List Paragraph1 Char,Normal numbered Char,No Spacing1 Char,List Paragraph Char Char Char Char,Indicator Text Char"/>
    <w:basedOn w:val="Standardnpsmoodstavce"/>
    <w:link w:val="Odstavecseseznamem"/>
    <w:uiPriority w:val="34"/>
    <w:qFormat/>
    <w:locked/>
    <w:rsid w:val="00C462F9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1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14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1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4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70/2017%20Sb.%25234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70/2017%20Sb.%252310'&amp;ucin-k-dni='30.12.9999'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370/2017%20Sb.%2523221'&amp;ucin-k-dni='30.12.9999'" TargetMode="External"/><Relationship Id="rId5" Type="http://schemas.openxmlformats.org/officeDocument/2006/relationships/footnotes" Target="footnotes.xml"/><Relationship Id="rId10" Type="http://schemas.openxmlformats.org/officeDocument/2006/relationships/hyperlink" Target="aspi://module='ASPI'&amp;link='370/2017%20Sb.%2523101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370/2017%20Sb.%252369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6858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Czehowská</dc:creator>
  <cp:keywords/>
  <dc:description/>
  <cp:lastModifiedBy>Strouhalová Simona</cp:lastModifiedBy>
  <cp:revision>2</cp:revision>
  <dcterms:created xsi:type="dcterms:W3CDTF">2024-07-24T13:48:00Z</dcterms:created>
  <dcterms:modified xsi:type="dcterms:W3CDTF">2024-07-24T13:48:00Z</dcterms:modified>
</cp:coreProperties>
</file>